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1.004088.000.00.00.H26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932/QĐ-TTPVHCC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phương tiện lần đầu đối với phương tiện chưa khai thác trên đường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có nhu cầu nộp hồ sơ đến cơ quan đăng ký phương tiện theo quy định.</w:t>
      </w:r>
    </w:p>
    <w:p>
      <w:pPr>
        <w:spacing w:after="0" w:before="0" w:lineRule="auto" w:line="276"/>
        <w:jc w:val="both"/>
      </w:pPr>
      <w:r>
        <w:rPr>
          <w:rFonts w:ascii="Times New Roman" w:hAnsi="Times New Roman" w:cs="Times New Roman" w:eastAsia="Times New Roman"/>
          <w:b w:val="false"/>
          <w:sz w:val="26"/>
        </w:rPr>
        <w:t xml:space="preserve"> Cơ quan đăng ký phương tiện bao gồm:</w:t>
      </w:r>
    </w:p>
    <w:p>
      <w:pPr>
        <w:spacing w:after="0" w:before="0" w:lineRule="auto" w:line="276"/>
        <w:jc w:val="both"/>
      </w:pPr>
      <w:r>
        <w:rPr>
          <w:rFonts w:ascii="Times New Roman" w:hAnsi="Times New Roman" w:cs="Times New Roman" w:eastAsia="Times New Roman"/>
          <w:b w:val="false"/>
          <w:sz w:val="26"/>
        </w:rPr>
        <w:t>+ Cục Đường thủy nội địa Việt Nam và các Chi cục Đường thủy nội địa khu vực tổ chức, thực hiện đăng ký phương tiện mang cấp VR-SB của tổ chức, cá nhân.</w:t>
      </w:r>
    </w:p>
    <w:p>
      <w:pPr>
        <w:spacing w:after="0" w:before="0" w:lineRule="auto" w:line="276"/>
        <w:jc w:val="both"/>
      </w:pPr>
      <w:r>
        <w:rPr>
          <w:rFonts w:ascii="Times New Roman" w:hAnsi="Times New Roman" w:cs="Times New Roman" w:eastAsia="Times New Roman"/>
          <w:b w:val="false"/>
          <w:sz w:val="26"/>
        </w:rPr>
        <w:t>+ Sở Giao thông vận tải các tỉnh, thành phố trực thuộc Trung ương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w:t>
      </w:r>
    </w:p>
    <w:p>
      <w:pPr>
        <w:spacing w:after="0" w:before="0" w:lineRule="auto" w:line="276"/>
        <w:jc w:val="both"/>
      </w:pPr>
      <w:r>
        <w:rPr>
          <w:rFonts w:ascii="Times New Roman" w:hAnsi="Times New Roman" w:cs="Times New Roman" w:eastAsia="Times New Roman"/>
          <w:b w:val="false"/>
          <w:sz w:val="26"/>
        </w:rPr>
        <w:t>+ Cơ quan quản lý giao thông cấp huyện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w:t>
      </w:r>
    </w:p>
    <w:p>
      <w:pPr>
        <w:spacing w:after="0" w:before="0" w:lineRule="auto" w:line="276"/>
        <w:jc w:val="both"/>
      </w:pPr>
      <w:r>
        <w:rPr>
          <w:rFonts w:ascii="Times New Roman" w:hAnsi="Times New Roman" w:cs="Times New Roman" w:eastAsia="Times New Roman"/>
          <w:b w:val="false"/>
          <w:sz w:val="26"/>
        </w:rPr>
        <w:t>+ Cấp xã, phường, thị trấn:</w:t>
      </w:r>
    </w:p>
    <w:p>
      <w:pPr>
        <w:spacing w:after="0" w:before="0" w:lineRule="auto" w:line="276"/>
        <w:jc w:val="both"/>
      </w:pPr>
      <w:r>
        <w:rPr>
          <w:rFonts w:ascii="Times New Roman" w:hAnsi="Times New Roman" w:cs="Times New Roman" w:eastAsia="Times New Roman"/>
          <w:b w:val="false"/>
          <w:sz w:val="26"/>
        </w:rPr>
        <w:t xml:space="preserve">        Thực hiện đăng ký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w:t>
      </w:r>
    </w:p>
    <w:p>
      <w:pPr>
        <w:spacing w:after="0" w:before="0" w:lineRule="auto" w:line="276"/>
        <w:jc w:val="both"/>
      </w:pPr>
      <w:r>
        <w:rPr>
          <w:rFonts w:ascii="Times New Roman" w:hAnsi="Times New Roman" w:cs="Times New Roman" w:eastAsia="Times New Roman"/>
          <w:b w:val="false"/>
          <w:sz w:val="26"/>
        </w:rPr>
        <w:t>·        Tổ chức quản lý đối với phương tiện thô sơ có trọng tải toàn phần dưới 01 tấn hoặc sức chở dưới 05 người hoặc bè khi hoạt động trên đường thủy nội địa phải đảm bảo điều kiện an toàn theo quy định</w:t>
      </w:r>
    </w:p>
    <w:p>
      <w:pPr>
        <w:spacing w:after="0" w:before="0" w:lineRule="auto" w:line="276"/>
        <w:jc w:val="both"/>
      </w:pPr>
      <w:r>
        <w:rPr>
          <w:rFonts w:ascii="Times New Roman" w:hAnsi="Times New Roman" w:cs="Times New Roman" w:eastAsia="Times New Roman"/>
          <w:b w:val="false"/>
          <w:sz w:val="26"/>
        </w:rPr>
        <w:t>+ Cơ quan đăng ký quy định tại khoản 2 Điều 8 được tổ chức, thực hiện đăng ký phương tiện quy định tại khoản 3, khoản 4 Điều 8 Thông tư 75/2014/TT-BGTVT ; cơ quan đăng ký quy định tại khoản 3 Điều 8 được tổ chức, thực hiện đăng ký phương tiện quy định tại khoản 4 Điều 8.</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Trường hợp hồ sơ nhận qua hệ thống bưu điện hoặc hình thức phù hợp khác, nếu hồ sơ không đầy đủ theo quy định, trong thời gian 02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Trong thời hạn 02 ngày làm việc, kể từ ngày nhận đủ hồ sơ theo quy định, cơ quan đăng ký cấp giấy chứng nhận đăng ký phương tiện cho chủ phương tiện. Trường hợp không cấp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(hai)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(hai)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(hai)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kê khai điều kiện an toàn của phương tiện thủy nội địa theo quy định đối với phương tiện không thuộc diện đăng kiểm</w:t>
            </w:r>
          </w:p>
        </w:tc>
        <w:tc>
          <w:p/>
          <w:p>
            <w:pPr>
              <w:spacing w:after="0" w:before="0" w:lineRule="auto" w:line="276"/>
              <w:jc w:val="left"/>
            </w:pPr>
            <w:r>
              <w:rPr>
                <w:rFonts w:ascii="Times New Roman" w:hAnsi="Times New Roman" w:cs="Times New Roman" w:eastAsia="Times New Roman"/>
                <w:b w:val="false"/>
                <w:sz w:val="26"/>
              </w:rPr>
              <w:t>MauBankekhai.docx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phép hoặc tờ khai phương tiện nhập khẩu theo quy định của pháp luật đối với phương tiện được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hợp đồng đóng mới phương tiện đối với phương tiện thuộc diện đăng kiểm. (Trường hợp chủ phương tiện là cơ sở đóng mới, hoán cải, sửa chữa và phục hồi phương tiện được phép hoạt động theo quy định của pháp luật khi thực hiện đăng ký không phải xuất trình Hợp đồng mua bán phương tiện hoặc hợp đồng đóng mới phương tiện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cho thuê tài chính đối với trường hợp tổ chức cho thuê tài chính đề nghị được đăng ký phương tiện tại nơi đăng ký hộ khẩu thường trú hoặc tạm trú của bên thuê.</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chủ phương tiện là cơ sở đóng mới, hoán cải, sửa chữa và phục hồi phương tiện được phép hoạt động theo quy định của pháp luật khi thực hiện đăng ký không phải xuất trình hoặc gửi Hợp đồng mua bán phương tiện hoặc hợp đồng đóng mới phương tiện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được phép hoạt động và có trụ sở tại Việt Nam đối với tổ chức nước ngoài hoặc giấy tờ chứng minh được phép cư trú tại Việt Nam đối với cá nhân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Hà Nội; Điểm phục vụ hành chính công tại các xã, phường mới.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Phương tiện có đủ hồ sơ theo quy định sẽ được cơ quan đăng ký phương tiện đăng ký vào Sổ đăng ký phương tiện thủy nội địa và cấp Giấy chứng nhận đăng ký phương tiện thủy nội địa.
- Trường hợp chủ phương tiện là cá nhân chưa có hộ khẩu thường trú nhưng có đăng ký tạm trú tại địa phương thì việc đăng ký phương tiện được thực hiện như trường hợp có hộ khẩu đăng ký thường trú.</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2026-05-17T09:59:59Z</dcterms:created>
  <dc:creator>Apache POI</dc:creator>
</cp:coreProperties>
</file>