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1.005040.000.00.00.H26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932/QĐ-TTPVHCC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Xác nhận trình báo đường thủy nội địa hoặc trình báo đường thủy nội địa bổ sung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Nộp hồ sơ TTHC</w:t>
      </w:r>
    </w:p>
    <w:p>
      <w:pPr>
        <w:spacing w:after="0" w:before="0" w:lineRule="auto" w:line="276"/>
        <w:jc w:val="both"/>
      </w:pPr>
      <w:r>
        <w:rPr>
          <w:rFonts w:ascii="Times New Roman" w:hAnsi="Times New Roman" w:cs="Times New Roman" w:eastAsia="Times New Roman"/>
          <w:b w:val="false"/>
          <w:sz w:val="26"/>
        </w:rPr>
        <w:t>Tổ chức cá nhân gửi hồ sơ đề nghị xác nhận trình báo đường thủy nội địa đến cơ quan có thẩm quyền theo quy định.</w:t>
      </w:r>
    </w:p>
    <w:p>
      <w:pPr>
        <w:shd w:val="clear" w:color="auto" w:fill="F2F6F9"/>
        <w:spacing w:after="0" w:before="120" w:lineRule="auto" w:line="276"/>
        <w:jc w:val="both"/>
      </w:pPr>
      <w:r>
        <w:rPr>
          <w:rFonts w:ascii="Times New Roman" w:hAnsi="Times New Roman" w:cs="Times New Roman" w:eastAsia="Times New Roman"/>
          <w:b w:val="true"/>
          <w:sz w:val="26"/>
        </w:rPr>
        <w:t>Nộp hồ sơ TTHC: Cơ quan có thẩm quyền bao gồm:</w:t>
      </w:r>
    </w:p>
    <w:p>
      <w:pPr>
        <w:spacing w:after="0" w:before="0" w:lineRule="auto" w:line="276"/>
        <w:jc w:val="both"/>
      </w:pPr>
      <w:r>
        <w:rPr>
          <w:rFonts w:ascii="Times New Roman" w:hAnsi="Times New Roman" w:cs="Times New Roman" w:eastAsia="Times New Roman"/>
          <w:b w:val="false"/>
          <w:sz w:val="26"/>
        </w:rPr>
        <w:t>Trường hợp phương tiện thủy nội địa, tàu biển, tàu cá bị tai nạn, sự cố trong vùng nước cảng, bến thủy nội địa thì trình báo đường thủy nội địa phải được trình Cảng vụ Đường thủy nội địa trong thời hạn 48 (bốn mươi tám) giờ sau khi xảy ra tai nạn, sự cố.</w:t>
      </w:r>
    </w:p>
    <w:p>
      <w:pPr>
        <w:spacing w:after="0" w:before="0" w:lineRule="auto" w:line="276"/>
        <w:jc w:val="both"/>
      </w:pPr>
      <w:r>
        <w:rPr>
          <w:rFonts w:ascii="Times New Roman" w:hAnsi="Times New Roman" w:cs="Times New Roman" w:eastAsia="Times New Roman"/>
          <w:b w:val="false"/>
          <w:sz w:val="26"/>
        </w:rPr>
        <w:t>Trường hợp phương tiện thủy nội địa, tàu biển, tàu cá bị tai nạn, sự cố trên đường thủy nội địa (ngoài vùng nước cảng, bến thủy nội địa) thì trình báo đường thủy nội địa phải được trình báo tại một trong các cơ quan: Cảng vụ Đường thủy nội địa, đơn vị quản lý đường thủy nội địa, Cảnh sát đường thủy hoặc Ủy ban nhân dân gần nhất nơi xảy ra tai nạn, sự cố chậm nhất 03 (ba) giờ làm việc, kể từ thời điểm xảy ra tai nạn, sự cố hoặc kể từ khi phương tiện thủy nội địa, tàu biển, tàu cá ghé vào cảng, bến thủy nội địa đầu tiên sau khi xảy ra tai nạn, sự cố.</w:t>
      </w:r>
    </w:p>
    <w:p>
      <w:pPr>
        <w:spacing w:after="0" w:before="0" w:lineRule="auto" w:line="276"/>
        <w:jc w:val="both"/>
      </w:pPr>
      <w:r>
        <w:rPr>
          <w:rFonts w:ascii="Times New Roman" w:hAnsi="Times New Roman" w:cs="Times New Roman" w:eastAsia="Times New Roman"/>
          <w:b w:val="false"/>
          <w:sz w:val="26"/>
        </w:rPr>
        <w:t>Trường hợp tai nạn, sự cố xảy ra có liên quan đến hàng hóa trong hầm hàng thì trình báo đường thủy nội địa phải được trình cơ quan nhà nước có thẩm quyền quy định tại Điều 5 của Thông tư số 69/2014/TT-BGTVT ngày 27/11/2015 trước khi mở nắp hầm hàng. Trường hợp tai nạn, sự cố xảy ra với hàng hóa trong quá trình làm hàng (đã mở nắp hầm hàng) thì thực hiện như trường hợp phương tiện thủy nội địa, tàu biển, tàu cá bị tai nạn, sự cố trên đường thủy nội địa.</w:t>
      </w:r>
    </w:p>
    <w:p>
      <w:pPr>
        <w:shd w:val="clear" w:color="auto" w:fill="F2F6F9"/>
        <w:spacing w:after="0" w:before="120" w:lineRule="auto" w:line="276"/>
        <w:jc w:val="both"/>
      </w:pPr>
      <w:r>
        <w:rPr>
          <w:rFonts w:ascii="Times New Roman" w:hAnsi="Times New Roman" w:cs="Times New Roman" w:eastAsia="Times New Roman"/>
          <w:b w:val="true"/>
          <w:sz w:val="26"/>
        </w:rPr>
        <w:t>Giải quyết TTHC</w:t>
      </w:r>
    </w:p>
    <w:p>
      <w:pPr>
        <w:spacing w:after="0" w:before="0" w:lineRule="auto" w:line="276"/>
        <w:jc w:val="both"/>
      </w:pPr>
      <w:r>
        <w:rPr>
          <w:rFonts w:ascii="Times New Roman" w:hAnsi="Times New Roman" w:cs="Times New Roman" w:eastAsia="Times New Roman"/>
          <w:b w:val="false"/>
          <w:sz w:val="26"/>
        </w:rPr>
        <w:t>Khi thuyền trưởng hoặc người lái phương tiện hoặc người được thuyền trưởng, người lái phương tiện ủy quyền nộp và xuất trình đủ các giấy tờ theo quy định, cơ quan có thẩm quyền tiến hành xác nhận việc trình báo đường thủy nội địa vào bản trình báo đường thủy nội địa.</w:t>
      </w:r>
    </w:p>
    <w:p>
      <w:pPr>
        <w:spacing w:after="0" w:before="0" w:lineRule="auto" w:line="276"/>
        <w:jc w:val="both"/>
      </w:pPr>
      <w:r>
        <w:rPr>
          <w:rFonts w:ascii="Times New Roman" w:hAnsi="Times New Roman" w:cs="Times New Roman" w:eastAsia="Times New Roman"/>
          <w:b w:val="false"/>
          <w:sz w:val="26"/>
        </w:rPr>
        <w:t>Thời hạn giải quyết xác nhận việc trình báo đường thủy nội địa không quá 02 (hai) giờ làm việc đối với Cảng vụ đường thủy nội địa và 03 (ba) giờ làm việc đối với các cơ quan có thẩm quyền khác, kể từ khi đã nhận đủ các giấy tờ hợp lệ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Giờ</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quá (02) ba giờ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02 Giờ</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quá (02) ba giờ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02 Giờ</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quá (02) ba giờ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Các giấy tờ phải nộp đối với phương tiện thủy nội địa, tàu cá</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Trình báo đường thủy nội địa theo mẫu (02 bản)</w:t>
            </w:r>
          </w:p>
        </w:tc>
        <w:tc>
          <w:p/>
          <w:p>
            <w:pPr>
              <w:spacing w:after="0" w:before="0" w:lineRule="auto" w:line="276"/>
              <w:jc w:val="left"/>
            </w:pPr>
            <w:r>
              <w:rPr>
                <w:rFonts w:ascii="Times New Roman" w:hAnsi="Times New Roman" w:cs="Times New Roman" w:eastAsia="Times New Roman"/>
                <w:b w:val="false"/>
                <w:sz w:val="26"/>
              </w:rPr>
              <w:t>MauTrinhbaoTN.docx</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Tự họa có mô tả sơ đồ vị trí xảy ra tai nạn, sự cố và đính kèm hình ảnh (nếu có), (02 bản)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w:t>
            </w:r>
          </w:p>
        </w:tc>
      </w:tr>
    </w:tbl>
    <w:p>
      <w:pPr>
        <w:shd w:val="clear" w:color="auto" w:fill="F2F6F9"/>
        <w:spacing w:after="0" w:before="120" w:lineRule="auto" w:line="276"/>
        <w:jc w:val="both"/>
      </w:pPr>
      <w:r>
        <w:rPr>
          <w:rFonts w:ascii="Times New Roman" w:hAnsi="Times New Roman" w:cs="Times New Roman" w:eastAsia="Times New Roman"/>
          <w:b w:val="true"/>
          <w:sz w:val="26"/>
        </w:rPr>
        <w:t>Các giấy tờ phải nộp đối với tàu biển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Trình báo đường thủy nội địa theo mẫu (02 bản)</w:t>
            </w:r>
          </w:p>
        </w:tc>
        <w:tc>
          <w:p/>
          <w:p>
            <w:pPr>
              <w:spacing w:after="0" w:before="0" w:lineRule="auto" w:line="276"/>
              <w:jc w:val="left"/>
            </w:pPr>
            <w:r>
              <w:rPr>
                <w:rFonts w:ascii="Times New Roman" w:hAnsi="Times New Roman" w:cs="Times New Roman" w:eastAsia="Times New Roman"/>
                <w:b w:val="false"/>
                <w:sz w:val="26"/>
              </w:rPr>
              <w:t>MauTrinhbaoTN.docx</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trích sao Nhật ký hàng hải những phần có liên quan đến vụ việc (02 bản)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Bản trích sao Hải đồ liên quan đến vụ việc (02 bản)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w:t>
            </w:r>
          </w:p>
        </w:tc>
      </w:tr>
    </w:tbl>
    <w:p>
      <w:pPr>
        <w:shd w:val="clear" w:color="auto" w:fill="F2F6F9"/>
        <w:spacing w:after="0" w:before="120" w:lineRule="auto" w:line="276"/>
        <w:jc w:val="both"/>
      </w:pPr>
      <w:r>
        <w:rPr>
          <w:rFonts w:ascii="Times New Roman" w:hAnsi="Times New Roman" w:cs="Times New Roman" w:eastAsia="Times New Roman"/>
          <w:b w:val="true"/>
          <w:sz w:val="26"/>
        </w:rPr>
        <w:t>Các giấy tờ phải xuất trình (bản chính):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Đối với tàu biển: Bản trích sao Nhật ký hàng hải những phần có liên quan đến vụ việc, Bản trích sao Hải đồ liên quan đến vụ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phương tiện thủy nội địa, tàu cá: Bản sao Tự họa có mô tả sơ đồ vị trí xảy ra tai nạn, sự cố và đính kèm hình ảnh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Đối với bản trình báo đường thủy nội địa, ngoài chữ ký của thuyền trưởng hoặc người lái phương tiện và đóng dấu của tàu biển, phương tiện thủy nội địa, tàu cá (nếu có con dấu), còn phải có chữ ký của máy trưởng hoặc 01 (một) thủy thủ với tư cách là người làm chứng.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Ngoài số lượng trình báo đường thủy nội địa được quy định nói trên, thuyền trưởng hoặc người lái phương tiện có thể đề nghị xác nhận thêm các bản khác có cùng nội dung, nếu thấy cần thiết.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Chi nhánh Trung tâm Phục vụ hành chính công số 1 và Chi nhánh Trung tâm Phục vụ hành chính công (nơi có công trình); Điểm phục vụ hành chính công tại các xã, phường mới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Xác nhận việc trình báo đường thủy nội địa.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23/2004/QH11</w:t>
            </w:r>
          </w:p>
        </w:tc>
        <w:tc>
          <w:p/>
          <w:p>
            <w:pPr>
              <w:spacing w:after="0" w:before="0" w:lineRule="auto" w:line="276"/>
              <w:jc w:val="left"/>
            </w:pPr>
            <w:r>
              <w:rPr>
                <w:rFonts w:ascii="Times New Roman" w:hAnsi="Times New Roman" w:cs="Times New Roman" w:eastAsia="Times New Roman"/>
                <w:b w:val="false"/>
                <w:sz w:val="26"/>
              </w:rPr>
              <w:t>Giao thông đường thủy nội địa</w:t>
            </w:r>
          </w:p>
        </w:tc>
        <w:tc>
          <w:p/>
          <w:p>
            <w:pPr>
              <w:spacing w:after="0" w:before="0" w:lineRule="auto" w:line="276"/>
              <w:jc w:val="left"/>
            </w:pPr>
            <w:r>
              <w:rPr>
                <w:rFonts w:ascii="Times New Roman" w:hAnsi="Times New Roman" w:cs="Times New Roman" w:eastAsia="Times New Roman"/>
                <w:b w:val="false"/>
                <w:sz w:val="26"/>
              </w:rPr>
              <w:t>15-06-2004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48/2014/QH13</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Giao thông đường thủy nội địa</w:t>
            </w:r>
          </w:p>
        </w:tc>
        <w:tc>
          <w:p/>
          <w:p>
            <w:pPr>
              <w:spacing w:after="0" w:before="0" w:lineRule="auto" w:line="276"/>
              <w:jc w:val="left"/>
            </w:pPr>
            <w:r>
              <w:rPr>
                <w:rFonts w:ascii="Times New Roman" w:hAnsi="Times New Roman" w:cs="Times New Roman" w:eastAsia="Times New Roman"/>
                <w:b w:val="false"/>
                <w:sz w:val="26"/>
              </w:rPr>
              <w:t>17-06-2014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69/2014/TT-BGTVT</w:t>
            </w:r>
          </w:p>
        </w:tc>
        <w:tc>
          <w:p/>
          <w:p>
            <w:pPr>
              <w:spacing w:after="0" w:before="0" w:lineRule="auto" w:line="276"/>
              <w:jc w:val="left"/>
            </w:pPr>
            <w:r>
              <w:rPr>
                <w:rFonts w:ascii="Times New Roman" w:hAnsi="Times New Roman" w:cs="Times New Roman" w:eastAsia="Times New Roman"/>
                <w:b w:val="false"/>
                <w:sz w:val="26"/>
              </w:rPr>
              <w:t>Quy định thủ tục xác nhận việc trình báo đường thủy nội địa</w:t>
            </w:r>
          </w:p>
        </w:tc>
        <w:tc>
          <w:p/>
          <w:p>
            <w:pPr>
              <w:spacing w:after="0" w:before="0" w:lineRule="auto" w:line="276"/>
              <w:jc w:val="left"/>
            </w:pPr>
            <w:r>
              <w:rPr>
                <w:rFonts w:ascii="Times New Roman" w:hAnsi="Times New Roman" w:cs="Times New Roman" w:eastAsia="Times New Roman"/>
                <w:b w:val="false"/>
                <w:sz w:val="26"/>
              </w:rPr>
              <w:t>27-11-2014</w:t>
            </w:r>
          </w:p>
        </w:tc>
        <w:tc>
          <w:p/>
          <w:p>
            <w:pPr>
              <w:spacing w:after="0" w:before="0" w:lineRule="auto" w:line="276"/>
              <w:jc w:val="left"/>
            </w:pPr>
            <w:r>
              <w:rPr>
                <w:rFonts w:ascii="Times New Roman" w:hAnsi="Times New Roman" w:cs="Times New Roman" w:eastAsia="Times New Roman"/>
                <w:b w:val="false"/>
                <w:sz w:val="26"/>
              </w:rPr>
              <w:t>Bộ Giao thông vận tải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2026-05-17T10:01:03Z</dcterms:created>
  <dc:creator>Apache POI</dc:creator>
</cp:coreProperties>
</file>