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1.003658.000.00.00.H26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933/QĐ-TTPVHCC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lại hoạt động bến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Chủ bến thủy nội địa gửi hồ sơ đề nghị cấp lại giấy phép hoạt động bến thủy nội địa đến Sở Giao thông vận tải.</w:t>
      </w:r>
    </w:p>
    <w:p>
      <w:pPr>
        <w:spacing w:after="0" w:before="0" w:lineRule="auto" w:line="276"/>
        <w:jc w:val="both"/>
      </w:pPr>
      <w:r>
        <w:rPr>
          <w:rFonts w:ascii="Times New Roman" w:hAnsi="Times New Roman" w:cs="Times New Roman" w:eastAsia="Times New Roman"/>
          <w:b w:val="false"/>
          <w:sz w:val="26"/>
        </w:rPr>
        <w:t>Bến thủy nội địa phải được cấp lại giấy phép hoạt động trong các trường hợp sau:</w:t>
      </w:r>
    </w:p>
    <w:p>
      <w:pPr>
        <w:spacing w:after="0" w:before="0" w:lineRule="auto" w:line="276"/>
        <w:jc w:val="both"/>
      </w:pPr>
      <w:r>
        <w:rPr>
          <w:rFonts w:ascii="Times New Roman" w:hAnsi="Times New Roman" w:cs="Times New Roman" w:eastAsia="Times New Roman"/>
          <w:b w:val="false"/>
          <w:sz w:val="26"/>
        </w:rPr>
        <w:t>+ Giấy phép hoạt động hết hiệu lực;</w:t>
      </w:r>
    </w:p>
    <w:p>
      <w:pPr>
        <w:spacing w:after="0" w:before="0" w:lineRule="auto" w:line="276"/>
        <w:jc w:val="both"/>
      </w:pPr>
      <w:r>
        <w:rPr>
          <w:rFonts w:ascii="Times New Roman" w:hAnsi="Times New Roman" w:cs="Times New Roman" w:eastAsia="Times New Roman"/>
          <w:b w:val="false"/>
          <w:sz w:val="26"/>
        </w:rPr>
        <w:t>+ Thay đổi chủ sở hữu;</w:t>
      </w:r>
    </w:p>
    <w:p>
      <w:pPr>
        <w:spacing w:after="0" w:before="0" w:lineRule="auto" w:line="276"/>
        <w:jc w:val="both"/>
      </w:pPr>
      <w:r>
        <w:rPr>
          <w:rFonts w:ascii="Times New Roman" w:hAnsi="Times New Roman" w:cs="Times New Roman" w:eastAsia="Times New Roman"/>
          <w:b w:val="false"/>
          <w:sz w:val="26"/>
        </w:rPr>
        <w:t>+ Thay đổi vùng đất, vùng nước, công dụng của bến.</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Trường hợp nộp hồ sơ trực tiếp, nếu hồ sơ đầy đủ thì cấp giấy biên nhận hồ sơ và hẹn trả kết quả theo thời hạn quy định; nếu hồ sơ chưa đầy đủ theo quy định thì trả lại ngay và hướng dẫn chủ bến hoàn thiện hồ sơ.</w:t>
      </w:r>
    </w:p>
    <w:p>
      <w:pPr>
        <w:spacing w:after="0" w:before="0" w:lineRule="auto" w:line="276"/>
        <w:jc w:val="both"/>
      </w:pPr>
      <w:r>
        <w:rPr>
          <w:rFonts w:ascii="Times New Roman" w:hAnsi="Times New Roman" w:cs="Times New Roman" w:eastAsia="Times New Roman"/>
          <w:b w:val="false"/>
          <w:sz w:val="26"/>
        </w:rPr>
        <w:t>Trường hợp nhận hồ sơ qua hệ thống bưu chính hoặc hình thức phù hợp khác, nếu hồ sơ chưa đầy đủ theo quy định, trong thời gian 02 (hai) ngày làm việc, kể từ ngày nhận hồ sơ, Sở Giao thông vận tải có văn bản yêu cầu chủ bến bổ sung, hoàn thiện hồ sơ.</w:t>
      </w:r>
    </w:p>
    <w:p>
      <w:pPr>
        <w:spacing w:after="0" w:before="0" w:lineRule="auto" w:line="276"/>
        <w:jc w:val="both"/>
      </w:pPr>
      <w:r>
        <w:rPr>
          <w:rFonts w:ascii="Times New Roman" w:hAnsi="Times New Roman" w:cs="Times New Roman" w:eastAsia="Times New Roman"/>
          <w:b w:val="false"/>
          <w:sz w:val="26"/>
        </w:rPr>
        <w:t>Trong thời hạn 5 ngày làm việc, kể từ ngày nhận đủ hồ sơ theo quy định, Sở Giao thông vận tải cấp giấy phép hoạt động bến thủy nội địa gửi chủ bến, giấy phép hoạt động bến khách ngang sông theo mẫu.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 Sở Giao thông vận tải ban hành quyết định công bố lại hoạt động bến thủy nội địa.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 Sở Giao thông vận tải ban hành quyết định công bố lại hoạt động bến thủy nội địa.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 Sở Giao thông vận tải ban hành quyết định công bố lại hoạt động bến thủy nội địa.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đề nghị công bố hoạt động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công bố lại hoạt động cảng, bến thủy nội địa theo mẫu;</w:t>
            </w:r>
          </w:p>
        </w:tc>
        <w:tc>
          <w:p/>
          <w:p>
            <w:pPr>
              <w:spacing w:after="0" w:before="0" w:lineRule="auto" w:line="276"/>
              <w:jc w:val="left"/>
            </w:pPr>
            <w:r>
              <w:rPr>
                <w:rFonts w:ascii="Times New Roman" w:hAnsi="Times New Roman" w:cs="Times New Roman" w:eastAsia="Times New Roman"/>
                <w:b w:val="false"/>
                <w:sz w:val="26"/>
              </w:rPr>
              <w:t>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sao kèm theo bản chính để đối chiếu văn bản của cơ quan có thẩm quyền về việc thay đổi vùng đất, vùng nước (đối với trường hợp Thay đổi vùng đất, vùng nước của bến thủy nội địa);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sao xuất trình bản chính để đối chiếu các văn bản chứng minh việc thay đổi chủ cảng, bến (đối với trường hợp Thay đổi chủ bến thủy nội địa).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đối với phần thay đổi kết cấu công trình của bến thủy nội địa: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có chứng thực quyết định phê duyệt báo cáo kinh tế - kỹ thuật của chủ đầu tư (đối với bến thủy nội địa có dự án đầu tư xây dựng) hoặc phương án khai thác bến thủy nội địa;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nghiệm thu hoàn thành công trình, bản vẽ hoàn công mặt bằng, mặt chiếu đứng, mặt cắt ngang công trình đối với bến thủy nội địa có dự án đầu tư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an toàn kỹ thuật và bảo vệ môi trường của kết cấu nổi, phương tiện, pông-tông hoặc phao neo thuộc diện phải đăng kiểm (nếu sử dụng kết cấu nổi, phương tiện, pông-tông làm cầu bến hoặc bến phao).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gửi hồ sơ trực tuyến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gửi hồ sơ trực tuyến, thành phần hồ sơ là bản chính hoặc bản sao điện tử các thành phần hồ sơ tương ứng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Trung tâm phục vụ hành chính số 1 - 258 Võ Chí Công, Hà Nội; Điểm phục vụ hành chính công tại các xã, phường mới.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bố (công bố lại) hoạt động bến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198/2016/TT-BTC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đường thủy nội địa và đường sắt</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2026-05-17T10:00:23Z</dcterms:created>
  <dc:creator>Apache POI</dc:creator>
</cp:coreProperties>
</file>